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63FB" w14:textId="33367BE3" w:rsidR="00AA5D83" w:rsidRDefault="00AA5D83" w:rsidP="00AA5D83">
      <w:pPr>
        <w:autoSpaceDE w:val="0"/>
        <w:autoSpaceDN w:val="0"/>
        <w:adjustRightInd w:val="0"/>
        <w:spacing w:after="40"/>
        <w:ind w:left="720" w:hanging="360"/>
        <w:jc w:val="center"/>
        <w:rPr>
          <w:b/>
          <w:bCs/>
          <w:u w:val="single"/>
        </w:rPr>
      </w:pPr>
      <w:r w:rsidRPr="00AA5D83">
        <w:rPr>
          <w:b/>
          <w:bCs/>
          <w:u w:val="single"/>
        </w:rPr>
        <w:t>Wytyczne technologiczne wykonania nawierzchni drogowych</w:t>
      </w:r>
    </w:p>
    <w:p w14:paraId="4C3B8CB4" w14:textId="77777777" w:rsidR="00AA5D83" w:rsidRPr="00AA5D83" w:rsidRDefault="00AA5D83" w:rsidP="00AA5D83">
      <w:pPr>
        <w:autoSpaceDE w:val="0"/>
        <w:autoSpaceDN w:val="0"/>
        <w:adjustRightInd w:val="0"/>
        <w:spacing w:after="40"/>
        <w:ind w:left="720" w:hanging="360"/>
        <w:jc w:val="center"/>
        <w:rPr>
          <w:b/>
          <w:bCs/>
          <w:u w:val="single"/>
        </w:rPr>
      </w:pPr>
    </w:p>
    <w:p w14:paraId="120DF9B6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 xml:space="preserve">Wykonawca powinien uwzględnić wyprodukowanie wszystkich mieszanek mineralno-asfaltowych z nowych materiałów wsadowych bez użycia granulatu asfaltowego do produkcji MMA. </w:t>
      </w:r>
    </w:p>
    <w:p w14:paraId="3D3173C3" w14:textId="77777777" w:rsidR="00AA5D83" w:rsidRPr="002F4FA3" w:rsidRDefault="00AA5D83" w:rsidP="00AA5D83">
      <w:pPr>
        <w:pStyle w:val="Akapitzlist"/>
        <w:numPr>
          <w:ilvl w:val="0"/>
          <w:numId w:val="1"/>
        </w:numPr>
        <w:spacing w:after="40" w:line="240" w:lineRule="auto"/>
        <w:ind w:left="714" w:hanging="357"/>
        <w:contextualSpacing w:val="0"/>
        <w:jc w:val="both"/>
        <w:rPr>
          <w:rFonts w:ascii="Cambria" w:hAnsi="Cambria"/>
          <w:i/>
        </w:rPr>
      </w:pPr>
      <w:r w:rsidRPr="002F4FA3">
        <w:rPr>
          <w:rFonts w:ascii="Cambria" w:hAnsi="Cambria"/>
          <w:i/>
        </w:rPr>
        <w:t>Kolejne warstwy nowych konstrukcji, począwszy od podbudowy po warstwę wiążącą, należy skropić emulsją asfaltową.</w:t>
      </w:r>
    </w:p>
    <w:p w14:paraId="2D32E5F8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iCs/>
          <w:sz w:val="22"/>
          <w:szCs w:val="22"/>
        </w:rPr>
      </w:pPr>
      <w:r w:rsidRPr="002F4FA3">
        <w:rPr>
          <w:rFonts w:ascii="Cambria" w:hAnsi="Cambria"/>
          <w:i/>
          <w:iCs/>
          <w:sz w:val="22"/>
          <w:szCs w:val="22"/>
        </w:rPr>
        <w:t>Do uszczelnienia połączeń technologicznych (tj. spoin stanowiących połączenia różnych materiałów lub połączenie warstwy asfaltowej z urządzeniami obcymi w nawierzchni lub ją ograniczającymi, należy stosować taśmy asfaltowe o grubości min. 0,8 cm.</w:t>
      </w:r>
    </w:p>
    <w:p w14:paraId="14AD24AD" w14:textId="77777777" w:rsidR="00AA5D83" w:rsidRPr="009E5D94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iCs/>
          <w:sz w:val="22"/>
          <w:szCs w:val="22"/>
        </w:rPr>
      </w:pPr>
      <w:r w:rsidRPr="009E5D94">
        <w:rPr>
          <w:rFonts w:ascii="Cambria" w:hAnsi="Cambria"/>
          <w:i/>
          <w:iCs/>
          <w:sz w:val="22"/>
          <w:szCs w:val="22"/>
        </w:rPr>
        <w:t xml:space="preserve">Styki starej i nowej nawierzchni należy zabezpieczyć poprzez ułożenie siatki szklano-węglowej o wytrzymałości 120/200 </w:t>
      </w:r>
      <w:proofErr w:type="spellStart"/>
      <w:r w:rsidRPr="009E5D94">
        <w:rPr>
          <w:rFonts w:ascii="Cambria" w:hAnsi="Cambria"/>
          <w:i/>
          <w:iCs/>
          <w:sz w:val="22"/>
          <w:szCs w:val="22"/>
        </w:rPr>
        <w:t>kN</w:t>
      </w:r>
      <w:proofErr w:type="spellEnd"/>
      <w:r w:rsidRPr="009E5D94">
        <w:rPr>
          <w:rFonts w:ascii="Cambria" w:hAnsi="Cambria"/>
          <w:i/>
          <w:iCs/>
          <w:sz w:val="22"/>
          <w:szCs w:val="22"/>
        </w:rPr>
        <w:t>/m. Użyta do wzmocnienia konstrukcji lub połączeń nawierzchni  siatka szklano-węglowa ma być przesączona asfaltem z posypką z piasku kwarcowego i zabezpieczeniem folią. Minimalny zakład na starą i nową konstrukcję wynosi 1,0 m., co daje łączną minimalną szerokość siatki 2,0 m.</w:t>
      </w:r>
      <w:r w:rsidRPr="009E5D94">
        <w:t xml:space="preserve"> </w:t>
      </w:r>
      <w:r w:rsidRPr="009E5D94">
        <w:rPr>
          <w:rFonts w:ascii="Cambria" w:hAnsi="Cambria"/>
          <w:i/>
          <w:iCs/>
          <w:sz w:val="22"/>
          <w:szCs w:val="22"/>
        </w:rPr>
        <w:t xml:space="preserve">Siatka winna znaleźć się pod warstwą wiążącą.  </w:t>
      </w:r>
    </w:p>
    <w:p w14:paraId="5164C28F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 xml:space="preserve">W wymaganiach technicznych dla warstwy ścieralnej należy uwzględnić dopuszczalne odchylenie równości 5mm w dniu odbioru inwestycji,  oraz 6mm na koniec okresu gwarancji. </w:t>
      </w:r>
    </w:p>
    <w:p w14:paraId="2188CD41" w14:textId="77777777" w:rsidR="00AA5D83" w:rsidRPr="002F4FA3" w:rsidRDefault="00AA5D83" w:rsidP="00AA5D83">
      <w:pPr>
        <w:pStyle w:val="Akapitzlist"/>
        <w:numPr>
          <w:ilvl w:val="0"/>
          <w:numId w:val="1"/>
        </w:numPr>
        <w:tabs>
          <w:tab w:val="left" w:pos="709"/>
        </w:tabs>
        <w:spacing w:after="40" w:line="240" w:lineRule="auto"/>
        <w:contextualSpacing w:val="0"/>
        <w:jc w:val="both"/>
        <w:rPr>
          <w:i/>
          <w:iCs/>
          <w:sz w:val="24"/>
          <w:szCs w:val="24"/>
        </w:rPr>
      </w:pPr>
      <w:r w:rsidRPr="002F4FA3">
        <w:rPr>
          <w:i/>
          <w:iCs/>
        </w:rPr>
        <w:t>Maksymalne odchylenia równość warstwy ścieralnej na ścieżkach rowerowych nie może przekroczyć 6mm. Na ścieżce rowerowej maksymalne uziarnienie mieszanki mineralno-asfaltowej to 0/8mm.</w:t>
      </w:r>
    </w:p>
    <w:p w14:paraId="18370045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bookmarkStart w:id="0" w:name="_Hlk101868312"/>
      <w:r w:rsidRPr="002F4FA3">
        <w:rPr>
          <w:rFonts w:ascii="Cambria" w:hAnsi="Cambria"/>
          <w:i/>
          <w:sz w:val="22"/>
          <w:szCs w:val="22"/>
        </w:rPr>
        <w:t>Odchyłka dla pojedynczego wyniku pomiaru w zakresie grubości danej warstwy lub pakietu warstw z mieszanki mineralno-bitumicznej, rozumiana jako procentowe przekroczenie w dół projektowanej grubości warstwy lub pakietu warstw, powinna się mieścić w przedziale 0 ÷ 10% dla poszczególnych warstw oraz 0 ÷ 10% lecz nie więcej niż 1,0 cm dla całego pakietu warstw z mieszanki mineralno-bitumicznej.</w:t>
      </w:r>
    </w:p>
    <w:bookmarkEnd w:id="0"/>
    <w:p w14:paraId="11121FC0" w14:textId="77777777" w:rsidR="00AA5D83" w:rsidRPr="002F4FA3" w:rsidRDefault="00AA5D83" w:rsidP="00AA5D83">
      <w:pPr>
        <w:pStyle w:val="Akapitzlist"/>
        <w:numPr>
          <w:ilvl w:val="0"/>
          <w:numId w:val="1"/>
        </w:numPr>
        <w:tabs>
          <w:tab w:val="left" w:pos="709"/>
        </w:tabs>
        <w:spacing w:after="40" w:line="240" w:lineRule="auto"/>
        <w:contextualSpacing w:val="0"/>
        <w:jc w:val="both"/>
        <w:rPr>
          <w:rFonts w:ascii="Cambria" w:hAnsi="Cambria"/>
          <w:i/>
          <w:iCs/>
          <w:sz w:val="24"/>
          <w:szCs w:val="24"/>
        </w:rPr>
      </w:pPr>
      <w:r w:rsidRPr="002F4FA3">
        <w:rPr>
          <w:rFonts w:ascii="Cambria" w:hAnsi="Cambria"/>
          <w:i/>
          <w:iCs/>
        </w:rPr>
        <w:t xml:space="preserve">Potrącenia za grubości warstw asfaltowych i inne parametry wykonanej nawierzchni asfaltowej będą obliczane zgodnie z obowiązującym na dzień odbioru DP-T 14. W przypadku przekroczenia tolerancji </w:t>
      </w:r>
      <w:proofErr w:type="spellStart"/>
      <w:r w:rsidRPr="002F4FA3">
        <w:rPr>
          <w:rFonts w:ascii="Cambria" w:hAnsi="Cambria"/>
          <w:i/>
          <w:iCs/>
        </w:rPr>
        <w:t>sczepności</w:t>
      </w:r>
      <w:proofErr w:type="spellEnd"/>
      <w:r w:rsidRPr="002F4FA3">
        <w:rPr>
          <w:rFonts w:ascii="Cambria" w:hAnsi="Cambria"/>
          <w:i/>
          <w:iCs/>
        </w:rPr>
        <w:t>, grubości, równości warstwy asfaltowej lub innych parametrów, Wykonawca usunie warstwę na swój koszt</w:t>
      </w:r>
      <w:r w:rsidRPr="002F4FA3">
        <w:rPr>
          <w:rFonts w:ascii="Cambria" w:hAnsi="Cambria"/>
          <w:i/>
          <w:iCs/>
          <w:shd w:val="clear" w:color="auto" w:fill="FFFF00"/>
        </w:rPr>
        <w:t xml:space="preserve"> </w:t>
      </w:r>
    </w:p>
    <w:p w14:paraId="7F58C391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iCs/>
          <w:sz w:val="22"/>
          <w:szCs w:val="22"/>
        </w:rPr>
        <w:t>Do warstw podbudowy zasadniczej lub pomocniczej z mieszanki niezwiązanej należy użyć kruszywa o uziarnieniu 0/31,5mm. Jako kruszywo łamane stabilizowane mechanicznie o uziarnieniu 0/31,5mm Wykonawca powinien uwzględnić kruszywo</w:t>
      </w:r>
      <w:r w:rsidRPr="002F4FA3">
        <w:rPr>
          <w:rFonts w:ascii="Cambria" w:hAnsi="Cambria"/>
          <w:i/>
          <w:sz w:val="22"/>
          <w:szCs w:val="22"/>
        </w:rPr>
        <w:t xml:space="preserve"> charakteryzujące się wysokimi parametrami fizyko-mechanicznymi tj. wartością nasiąkliwości WA</w:t>
      </w:r>
      <w:r w:rsidRPr="002F4FA3">
        <w:rPr>
          <w:rFonts w:ascii="Cambria" w:hAnsi="Cambria"/>
          <w:i/>
          <w:sz w:val="22"/>
          <w:szCs w:val="22"/>
          <w:vertAlign w:val="subscript"/>
        </w:rPr>
        <w:t>24</w:t>
      </w:r>
      <w:r w:rsidRPr="002F4FA3">
        <w:rPr>
          <w:rFonts w:ascii="Cambria" w:hAnsi="Cambria"/>
          <w:i/>
          <w:sz w:val="22"/>
          <w:szCs w:val="22"/>
        </w:rPr>
        <w:t xml:space="preserve">1,  oraz wartością mrozoodporności nie niższą niż F1. </w:t>
      </w:r>
    </w:p>
    <w:p w14:paraId="0B538212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>Należy uwzględnić  wbudowanie prefabrykatów betonowych charakteryzujących się parametrem nasiąkliwości nie wyższym niż  5%.</w:t>
      </w:r>
    </w:p>
    <w:p w14:paraId="1DB1B1B3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>Wbudowywane w ramach inwestycji krawężniki betonowe charakteryzować mają się parametrem wytrzymałości na zginanie 2T,</w:t>
      </w:r>
    </w:p>
    <w:p w14:paraId="44FAEC9B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>Należy stosować krawężniki w pełnym asortymencie jako proste, skosy oraz w razie potrzeby - łukowe.</w:t>
      </w:r>
    </w:p>
    <w:p w14:paraId="6953C235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>Opory betonowe krawężników, oporników bądź obrzeży należy wykonywać do 2/3 wysokości prefabrykatów.</w:t>
      </w:r>
    </w:p>
    <w:p w14:paraId="4D4E6B88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bookmarkStart w:id="1" w:name="_Hlk101853750"/>
      <w:r w:rsidRPr="002F4FA3">
        <w:rPr>
          <w:rFonts w:ascii="Cambria" w:hAnsi="Cambria"/>
          <w:i/>
          <w:sz w:val="22"/>
          <w:szCs w:val="22"/>
        </w:rPr>
        <w:t>Maksymalne odchylenia równości nawierzchni z kostki/płytki betonowej nie mogą przekraczać 6mm.</w:t>
      </w:r>
    </w:p>
    <w:bookmarkEnd w:id="1"/>
    <w:p w14:paraId="5480190C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>Wbudowywane mieszanki betonowe w ramach inwestycji mają być zgodne z obowiązującą normą na mieszanki betonowe oraz krzywe graniczne mają być  zgodne z  normą PN-B-06265 dla uziarnienia 0/16mm,</w:t>
      </w:r>
    </w:p>
    <w:p w14:paraId="514DB6A1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>Wytwórnia mieszanek betonowych dostarczająca materiały na budowę ma posiadać wdrożony system Zakładowej Kontroli Produkcji,</w:t>
      </w:r>
    </w:p>
    <w:p w14:paraId="7256F395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lastRenderedPageBreak/>
        <w:t xml:space="preserve">Wykonawca zobowiązany jest do regulacji wysokościowej urządzeń obcych (studni kablowych, wpustów skrzynek zaworów itp.), tolerancja ich posadowienia nie może przekroczyć </w:t>
      </w:r>
      <w:r w:rsidRPr="002F4FA3">
        <w:rPr>
          <w:rFonts w:ascii="Cambria" w:hAnsi="Cambria" w:cs="Calibri"/>
          <w:i/>
          <w:sz w:val="22"/>
          <w:szCs w:val="22"/>
        </w:rPr>
        <w:t>±</w:t>
      </w:r>
      <w:r w:rsidRPr="002F4FA3">
        <w:rPr>
          <w:rFonts w:ascii="Cambria" w:hAnsi="Cambria"/>
          <w:i/>
          <w:sz w:val="22"/>
          <w:szCs w:val="22"/>
        </w:rPr>
        <w:t>5mm. Tolerancja dla wpustów ulicznych wynosi - 5mm (nie dopuszcza się wyniesienia wpustu ponad nawierzchnie ulicy).</w:t>
      </w:r>
    </w:p>
    <w:p w14:paraId="0CCB9F3B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 xml:space="preserve">Regulację urządzeń obcych należy wykonać za pomocą pierścieni wyrównujących tworzywowych lub z </w:t>
      </w:r>
      <w:proofErr w:type="spellStart"/>
      <w:r w:rsidRPr="002F4FA3">
        <w:rPr>
          <w:rFonts w:ascii="Cambria" w:hAnsi="Cambria"/>
          <w:i/>
          <w:sz w:val="22"/>
          <w:szCs w:val="22"/>
        </w:rPr>
        <w:t>polimerobetonu</w:t>
      </w:r>
      <w:proofErr w:type="spellEnd"/>
      <w:r w:rsidRPr="002F4FA3">
        <w:rPr>
          <w:rFonts w:ascii="Cambria" w:hAnsi="Cambria"/>
          <w:i/>
          <w:sz w:val="22"/>
          <w:szCs w:val="22"/>
        </w:rPr>
        <w:t xml:space="preserve"> oraz szybkowiążących mieszanek betonowych przeznaczonych do tego celu,</w:t>
      </w:r>
    </w:p>
    <w:p w14:paraId="7AA856E6" w14:textId="77777777" w:rsidR="00AA5D83" w:rsidRPr="002F4FA3" w:rsidRDefault="00AA5D83" w:rsidP="00AA5D83">
      <w:pPr>
        <w:numPr>
          <w:ilvl w:val="0"/>
          <w:numId w:val="1"/>
        </w:numPr>
        <w:autoSpaceDE w:val="0"/>
        <w:autoSpaceDN w:val="0"/>
        <w:adjustRightInd w:val="0"/>
        <w:spacing w:after="40"/>
        <w:jc w:val="both"/>
        <w:rPr>
          <w:rFonts w:ascii="Cambria" w:hAnsi="Cambria"/>
          <w:i/>
          <w:sz w:val="22"/>
          <w:szCs w:val="22"/>
        </w:rPr>
      </w:pPr>
      <w:r w:rsidRPr="002F4FA3">
        <w:rPr>
          <w:rFonts w:ascii="Cambria" w:hAnsi="Cambria"/>
          <w:i/>
          <w:sz w:val="22"/>
          <w:szCs w:val="22"/>
        </w:rPr>
        <w:t xml:space="preserve">W przypadku stosowania płytek integracyjnych dla niewidomych i niedowidzących należy stosować płytki z </w:t>
      </w:r>
      <w:proofErr w:type="spellStart"/>
      <w:r w:rsidRPr="002F4FA3">
        <w:rPr>
          <w:rFonts w:ascii="Cambria" w:hAnsi="Cambria"/>
          <w:i/>
          <w:sz w:val="22"/>
          <w:szCs w:val="22"/>
        </w:rPr>
        <w:t>polimerobetonu</w:t>
      </w:r>
      <w:proofErr w:type="spellEnd"/>
      <w:r w:rsidRPr="002F4FA3">
        <w:rPr>
          <w:rFonts w:ascii="Cambria" w:hAnsi="Cambria"/>
          <w:i/>
          <w:sz w:val="22"/>
          <w:szCs w:val="22"/>
        </w:rPr>
        <w:t xml:space="preserve"> w kolorze żółtym o wymiarach 30x30x8cm.</w:t>
      </w:r>
    </w:p>
    <w:p w14:paraId="271AA5CD" w14:textId="77777777" w:rsidR="00AA5D83" w:rsidRPr="002F4FA3" w:rsidRDefault="00AA5D83" w:rsidP="00AA5D83">
      <w:pPr>
        <w:pStyle w:val="Tekstpodstawowy"/>
        <w:numPr>
          <w:ilvl w:val="0"/>
          <w:numId w:val="1"/>
        </w:numPr>
        <w:spacing w:after="40" w:line="240" w:lineRule="auto"/>
        <w:ind w:left="714" w:hanging="357"/>
        <w:rPr>
          <w:rFonts w:ascii="Cambria" w:hAnsi="Cambria"/>
          <w:bCs/>
          <w:i/>
          <w:sz w:val="22"/>
          <w:szCs w:val="22"/>
        </w:rPr>
      </w:pPr>
      <w:r w:rsidRPr="002F4FA3">
        <w:rPr>
          <w:rFonts w:ascii="Cambria" w:hAnsi="Cambria"/>
          <w:bCs/>
          <w:i/>
          <w:sz w:val="22"/>
          <w:szCs w:val="22"/>
        </w:rPr>
        <w:t>W przypadku stosowania prefabrykatów kamiennych należy stosować wyroby o parametrze wytrzymałości na ściskanie nie niższym niż 160MPa. Krawężniki kamienne należy stosować w pełnym asortymencie tj. proste, skosy i łukowe.</w:t>
      </w:r>
    </w:p>
    <w:p w14:paraId="445760D8" w14:textId="77777777" w:rsidR="00AA5D83" w:rsidRPr="002F4FA3" w:rsidRDefault="00AA5D83" w:rsidP="00AA5D83">
      <w:pPr>
        <w:pStyle w:val="Tekstpodstawowy"/>
        <w:numPr>
          <w:ilvl w:val="0"/>
          <w:numId w:val="1"/>
        </w:numPr>
        <w:spacing w:after="40" w:line="240" w:lineRule="auto"/>
        <w:ind w:left="714" w:hanging="357"/>
        <w:rPr>
          <w:rFonts w:ascii="Cambria" w:hAnsi="Cambria"/>
          <w:bCs/>
          <w:sz w:val="22"/>
          <w:szCs w:val="22"/>
        </w:rPr>
      </w:pPr>
      <w:r w:rsidRPr="002F4FA3">
        <w:rPr>
          <w:rFonts w:ascii="Cambria" w:hAnsi="Cambria"/>
          <w:bCs/>
          <w:i/>
          <w:sz w:val="22"/>
          <w:szCs w:val="22"/>
        </w:rPr>
        <w:t>Nawierzchnie z kostki kamiennej spoinowane mają być spoiną trasowo-cementową, do 2/3 jej wysokości. Kostka kamienna musi posiadać równość lica nie wyższą niż 10mm, a równość wykonanej nawierzchni z kostki kamiennej nie może wynosić więcej niż 10mm. Należy przewidzieć dylatacje nawierzchni z kostki kamiennej za pomocą sznura dylatacyjnego i zalewy poliuretanowej. W wypadku zastosowania oznakowania grubowarstwowego na kostce kamiennej zaleca się wykorzystanie specjalnej technologii dwuwarstwowej dedykowanej dla tego typu oznakowania (trójskładnikowa masa podkładowa w kolorze szarym i masa chemoutwardzalna) – oznakowanie o strukturze gładkiej.</w:t>
      </w:r>
    </w:p>
    <w:p w14:paraId="0BC17D6E" w14:textId="77777777" w:rsidR="009D54D7" w:rsidRDefault="009D54D7"/>
    <w:sectPr w:rsidR="009D54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3200C"/>
    <w:multiLevelType w:val="hybridMultilevel"/>
    <w:tmpl w:val="8514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3083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9A"/>
    <w:rsid w:val="009D54D7"/>
    <w:rsid w:val="00AA5D83"/>
    <w:rsid w:val="00F5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AFF6"/>
  <w15:chartTrackingRefBased/>
  <w15:docId w15:val="{D68FD4BF-0FA4-4F91-B216-CE3444105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5D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A5D83"/>
    <w:pPr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5D8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AA5D83"/>
    <w:pPr>
      <w:spacing w:after="200" w:line="276" w:lineRule="auto"/>
      <w:ind w:left="720"/>
      <w:contextualSpacing/>
    </w:pPr>
    <w:rPr>
      <w:rFonts w:ascii="Calibri" w:hAnsi="Calibri"/>
      <w:sz w:val="22"/>
      <w:szCs w:val="20"/>
      <w:lang w:val="x-none" w:eastAsia="en-US"/>
    </w:rPr>
  </w:style>
  <w:style w:type="character" w:customStyle="1" w:styleId="AkapitzlistZnak">
    <w:name w:val="Akapit z listą Znak"/>
    <w:link w:val="Akapitzlist"/>
    <w:uiPriority w:val="34"/>
    <w:locked/>
    <w:rsid w:val="00AA5D83"/>
    <w:rPr>
      <w:rFonts w:ascii="Calibri" w:eastAsia="Times New Roman" w:hAnsi="Calibri" w:cs="Times New Roman"/>
      <w:kern w:val="0"/>
      <w:szCs w:val="20"/>
      <w:lang w:val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688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Sznajdrowski</dc:creator>
  <cp:keywords/>
  <dc:description/>
  <cp:lastModifiedBy>Mateusz Sznajdrowski</cp:lastModifiedBy>
  <cp:revision>2</cp:revision>
  <dcterms:created xsi:type="dcterms:W3CDTF">2023-03-27T05:23:00Z</dcterms:created>
  <dcterms:modified xsi:type="dcterms:W3CDTF">2023-03-27T05:26:00Z</dcterms:modified>
</cp:coreProperties>
</file>